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6"/>
        <w:gridCol w:w="1884"/>
      </w:tblGrid>
      <w:tr w:rsidR="0083780D" w:rsidRPr="0083780D">
        <w:trPr>
          <w:tblCellSpacing w:w="0" w:type="dxa"/>
        </w:trPr>
        <w:tc>
          <w:tcPr>
            <w:tcW w:w="4000" w:type="pct"/>
            <w:hideMark/>
          </w:tcPr>
          <w:p w:rsidR="0083780D" w:rsidRPr="0083780D" w:rsidRDefault="0083780D" w:rsidP="0083780D">
            <w:pPr>
              <w:spacing w:line="240" w:lineRule="auto"/>
              <w:rPr>
                <w:rFonts w:ascii="Verdana" w:eastAsia="Times New Roman" w:hAnsi="Verdana"/>
                <w:sz w:val="15"/>
                <w:szCs w:val="15"/>
              </w:rPr>
            </w:pPr>
            <w:r w:rsidRPr="0083780D">
              <w:rPr>
                <w:rFonts w:ascii="Verdana" w:eastAsia="Times New Roman" w:hAnsi="Verdana"/>
                <w:b/>
                <w:bCs/>
                <w:color w:val="CC6600"/>
              </w:rPr>
              <w:t>The World is Too Much With Us</w:t>
            </w:r>
            <w:r w:rsidRPr="0083780D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3780D" w:rsidRPr="0083780D" w:rsidRDefault="0083780D" w:rsidP="0083780D">
            <w:pPr>
              <w:spacing w:line="240" w:lineRule="auto"/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 w:rsidRPr="0083780D">
              <w:rPr>
                <w:rFonts w:ascii="Verdana" w:eastAsia="Times New Roman" w:hAnsi="Verdana"/>
                <w:sz w:val="15"/>
                <w:szCs w:val="15"/>
              </w:rPr>
              <w:t xml:space="preserve">  </w:t>
            </w:r>
          </w:p>
        </w:tc>
      </w:tr>
      <w:tr w:rsidR="0083780D" w:rsidRPr="008378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3780D" w:rsidRPr="0083780D" w:rsidRDefault="0083780D" w:rsidP="0083780D">
            <w:pPr>
              <w:spacing w:line="240" w:lineRule="auto"/>
              <w:rPr>
                <w:rFonts w:ascii="Verdana" w:eastAsia="Times New Roman" w:hAnsi="Verdana"/>
                <w:sz w:val="15"/>
                <w:szCs w:val="15"/>
              </w:rPr>
            </w:pPr>
            <w:r w:rsidRPr="0083780D">
              <w:rPr>
                <w:rFonts w:ascii="Verdana" w:eastAsia="Times New Roman" w:hAnsi="Verdana"/>
                <w:sz w:val="15"/>
                <w:szCs w:val="15"/>
              </w:rPr>
              <w:t xml:space="preserve">by </w:t>
            </w:r>
            <w:hyperlink r:id="rId5" w:history="1">
              <w:r w:rsidRPr="0083780D">
                <w:rPr>
                  <w:rFonts w:ascii="Verdana" w:eastAsia="Times New Roman" w:hAnsi="Verdana"/>
                  <w:color w:val="336699"/>
                  <w:sz w:val="15"/>
                </w:rPr>
                <w:t>William Wordsworth</w:t>
              </w:r>
            </w:hyperlink>
            <w:r w:rsidRPr="0083780D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</w:tc>
      </w:tr>
      <w:tr w:rsidR="0083780D" w:rsidRPr="008378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3780D" w:rsidRPr="0083780D" w:rsidRDefault="0083780D" w:rsidP="0083780D">
            <w:pPr>
              <w:spacing w:line="240" w:lineRule="auto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83780D" w:rsidRPr="0083780D">
        <w:trPr>
          <w:tblCellSpacing w:w="0" w:type="dxa"/>
        </w:trPr>
        <w:tc>
          <w:tcPr>
            <w:tcW w:w="0" w:type="auto"/>
            <w:hideMark/>
          </w:tcPr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The world is too much with us; late and soon,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Getting and spending, we lay waste our powers;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Little we see in Nature that is ours;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We have given our hearts away, a sordid boon!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This Sea that </w:t>
            </w:r>
            <w:proofErr w:type="spellStart"/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bares</w:t>
            </w:r>
            <w:proofErr w:type="spellEnd"/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 her bosom to the moon;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The winds that will be howling at all hours,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And are up-gathered now like sleeping flowers,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For this, for everything, we are out of tune;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It moves us not.--Great God!  I'd rather be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A pagan suckled in a creed outworn;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So might I, standing on this pleasant lea,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Have glimpses that would make me less forlorn;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Have sight of Proteus rising from the sea;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Or hear old Triton blow his </w:t>
            </w:r>
            <w:proofErr w:type="spellStart"/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wreathèd</w:t>
            </w:r>
            <w:proofErr w:type="spellEnd"/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 horn.</w:t>
            </w:r>
          </w:p>
        </w:tc>
        <w:tc>
          <w:tcPr>
            <w:tcW w:w="0" w:type="auto"/>
            <w:vAlign w:val="center"/>
            <w:hideMark/>
          </w:tcPr>
          <w:p w:rsidR="0083780D" w:rsidRPr="0083780D" w:rsidRDefault="0083780D" w:rsidP="008378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3780D" w:rsidRDefault="0083780D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6"/>
        <w:gridCol w:w="1884"/>
      </w:tblGrid>
      <w:tr w:rsidR="0083780D" w:rsidRPr="0083780D">
        <w:trPr>
          <w:tblCellSpacing w:w="0" w:type="dxa"/>
        </w:trPr>
        <w:tc>
          <w:tcPr>
            <w:tcW w:w="4000" w:type="pct"/>
            <w:hideMark/>
          </w:tcPr>
          <w:p w:rsidR="0083780D" w:rsidRPr="0083780D" w:rsidRDefault="0083780D" w:rsidP="0083780D">
            <w:pPr>
              <w:spacing w:line="240" w:lineRule="auto"/>
              <w:rPr>
                <w:rFonts w:ascii="Verdana" w:eastAsia="Times New Roman" w:hAnsi="Verdana"/>
                <w:sz w:val="15"/>
                <w:szCs w:val="15"/>
              </w:rPr>
            </w:pPr>
            <w:r w:rsidRPr="0083780D">
              <w:rPr>
                <w:rFonts w:ascii="Verdana" w:eastAsia="Times New Roman" w:hAnsi="Verdana"/>
                <w:b/>
                <w:bCs/>
                <w:color w:val="CC6600"/>
              </w:rPr>
              <w:t>The Daffodils</w:t>
            </w:r>
            <w:r w:rsidRPr="0083780D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3780D" w:rsidRPr="0083780D" w:rsidRDefault="0083780D" w:rsidP="0083780D">
            <w:pPr>
              <w:spacing w:line="240" w:lineRule="auto"/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 w:rsidRPr="0083780D">
              <w:rPr>
                <w:rFonts w:ascii="Verdana" w:eastAsia="Times New Roman" w:hAnsi="Verdana"/>
                <w:sz w:val="15"/>
                <w:szCs w:val="15"/>
              </w:rPr>
              <w:t xml:space="preserve">  </w:t>
            </w:r>
          </w:p>
        </w:tc>
      </w:tr>
      <w:tr w:rsidR="0083780D" w:rsidRPr="008378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3780D" w:rsidRPr="0083780D" w:rsidRDefault="0083780D" w:rsidP="0083780D">
            <w:pPr>
              <w:spacing w:line="240" w:lineRule="auto"/>
              <w:rPr>
                <w:rFonts w:ascii="Verdana" w:eastAsia="Times New Roman" w:hAnsi="Verdana"/>
                <w:sz w:val="15"/>
                <w:szCs w:val="15"/>
              </w:rPr>
            </w:pPr>
            <w:r w:rsidRPr="0083780D">
              <w:rPr>
                <w:rFonts w:ascii="Verdana" w:eastAsia="Times New Roman" w:hAnsi="Verdana"/>
                <w:sz w:val="15"/>
                <w:szCs w:val="15"/>
              </w:rPr>
              <w:t xml:space="preserve">by </w:t>
            </w:r>
            <w:hyperlink r:id="rId6" w:history="1">
              <w:r w:rsidRPr="0083780D">
                <w:rPr>
                  <w:rFonts w:ascii="Verdana" w:eastAsia="Times New Roman" w:hAnsi="Verdana"/>
                  <w:color w:val="336699"/>
                  <w:sz w:val="15"/>
                </w:rPr>
                <w:t>William Wordsworth</w:t>
              </w:r>
            </w:hyperlink>
            <w:r w:rsidRPr="0083780D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</w:tc>
      </w:tr>
      <w:tr w:rsidR="0083780D" w:rsidRPr="008378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3780D" w:rsidRPr="0083780D" w:rsidRDefault="0083780D" w:rsidP="0083780D">
            <w:pPr>
              <w:spacing w:line="240" w:lineRule="auto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83780D" w:rsidRPr="0083780D">
        <w:trPr>
          <w:tblCellSpacing w:w="0" w:type="dxa"/>
        </w:trPr>
        <w:tc>
          <w:tcPr>
            <w:tcW w:w="0" w:type="auto"/>
            <w:hideMark/>
          </w:tcPr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I wandered lonely as a cloud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   That floats on high o'er vales and hills,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When all at once I saw a crowd,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   A host, of golden daffodils;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Beside the lake, beneath the trees,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Fluttering and dancing in the breeze.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Continuous as the stars that shine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   And twinkle on the Milky Way,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They stretched in never-ending line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   Along the margin of a bay: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Ten thousand saw I at a glance,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Tossing their heads in sprightly dance.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The waves beside them danced, but they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   Out-did the sparkling leaves in glee: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A Poet could not but be gay,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   In such a jocund company: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I gazed—and gazed—but little thought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What wealth the show to me had brought: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For oft, when on my couch I lie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   In vacant or in pensive mood,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They flash upon that inward eye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 xml:space="preserve">   Which is the bliss of solitude;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And then my heart with pleasure fills,</w:t>
            </w:r>
          </w:p>
          <w:p w:rsidR="0083780D" w:rsidRPr="0083780D" w:rsidRDefault="0083780D" w:rsidP="0083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83780D">
              <w:rPr>
                <w:rFonts w:ascii="Verdana" w:eastAsia="Times New Roman" w:hAnsi="Verdana" w:cs="Courier New"/>
                <w:sz w:val="15"/>
                <w:szCs w:val="15"/>
              </w:rPr>
              <w:t>And dances with the daffodils.</w:t>
            </w:r>
          </w:p>
        </w:tc>
        <w:tc>
          <w:tcPr>
            <w:tcW w:w="0" w:type="auto"/>
            <w:vAlign w:val="center"/>
            <w:hideMark/>
          </w:tcPr>
          <w:p w:rsidR="0083780D" w:rsidRPr="0083780D" w:rsidRDefault="0083780D" w:rsidP="008378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D1283" w:rsidRDefault="007D1283"/>
    <w:p w:rsidR="00C34201" w:rsidRPr="00C34201" w:rsidRDefault="00C34201" w:rsidP="00C34201">
      <w:pPr>
        <w:jc w:val="center"/>
        <w:rPr>
          <w:b/>
        </w:rPr>
      </w:pPr>
      <w:r w:rsidRPr="00C34201">
        <w:rPr>
          <w:b/>
        </w:rPr>
        <w:t>Wordsworth Assignment</w:t>
      </w:r>
    </w:p>
    <w:p w:rsidR="00D374C6" w:rsidRDefault="007D1283" w:rsidP="007D1283">
      <w:pPr>
        <w:numPr>
          <w:ilvl w:val="0"/>
          <w:numId w:val="2"/>
        </w:numPr>
      </w:pPr>
      <w:r>
        <w:t>Read and annotate the two poems “The Daffodils” and</w:t>
      </w:r>
      <w:r w:rsidR="00D374C6">
        <w:t xml:space="preserve"> “The World is Too Much </w:t>
      </w:r>
      <w:proofErr w:type="gramStart"/>
      <w:r w:rsidR="00D374C6">
        <w:t>With</w:t>
      </w:r>
      <w:proofErr w:type="gramEnd"/>
      <w:r w:rsidR="00D374C6">
        <w:t xml:space="preserve"> Us.”</w:t>
      </w:r>
      <w:r>
        <w:t xml:space="preserve">  </w:t>
      </w:r>
      <w:r w:rsidR="00C34201">
        <w:t xml:space="preserve">Make notes </w:t>
      </w:r>
      <w:r w:rsidR="00B85ECF">
        <w:t xml:space="preserve">on </w:t>
      </w:r>
      <w:r w:rsidR="00C73789">
        <w:t xml:space="preserve">literary devices, author’s style, and, </w:t>
      </w:r>
      <w:r w:rsidR="00C34201">
        <w:t>especially</w:t>
      </w:r>
      <w:r w:rsidR="00C73789">
        <w:t>,</w:t>
      </w:r>
      <w:r w:rsidR="00C34201">
        <w:t xml:space="preserve"> on meaning and how </w:t>
      </w:r>
      <w:r w:rsidR="00C73789">
        <w:t>the poems</w:t>
      </w:r>
      <w:r w:rsidR="00341122">
        <w:t xml:space="preserve"> relate to the prompts</w:t>
      </w:r>
      <w:r w:rsidR="00C34201">
        <w:t xml:space="preserve">. </w:t>
      </w:r>
      <w:r w:rsidR="00AC08AF">
        <w:t xml:space="preserve">Look up words you don’t know (like </w:t>
      </w:r>
      <w:r w:rsidR="00AC08AF" w:rsidRPr="00D374C6">
        <w:rPr>
          <w:i/>
        </w:rPr>
        <w:t>jocund</w:t>
      </w:r>
      <w:r w:rsidR="00AC08AF">
        <w:t>).</w:t>
      </w:r>
      <w:r w:rsidR="00C34201">
        <w:t xml:space="preserve"> </w:t>
      </w:r>
      <w:r w:rsidR="00341122">
        <w:t>Then, complete a full TPPCAST for each poem.</w:t>
      </w:r>
    </w:p>
    <w:p w:rsidR="0083780D" w:rsidRDefault="0083780D"/>
    <w:sectPr w:rsidR="0083780D" w:rsidSect="00CA5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208"/>
    <w:multiLevelType w:val="hybridMultilevel"/>
    <w:tmpl w:val="85A0EB46"/>
    <w:lvl w:ilvl="0" w:tplc="F926DC0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501BB7"/>
    <w:multiLevelType w:val="hybridMultilevel"/>
    <w:tmpl w:val="B1BAD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 w:grammar="clean"/>
  <w:defaultTabStop w:val="720"/>
  <w:characterSpacingControl w:val="doNotCompress"/>
  <w:compat/>
  <w:rsids>
    <w:rsidRoot w:val="0083780D"/>
    <w:rsid w:val="000E24E3"/>
    <w:rsid w:val="0030312B"/>
    <w:rsid w:val="00341122"/>
    <w:rsid w:val="007D1283"/>
    <w:rsid w:val="0083780D"/>
    <w:rsid w:val="00964299"/>
    <w:rsid w:val="00A0764C"/>
    <w:rsid w:val="00A9248E"/>
    <w:rsid w:val="00AC08AF"/>
    <w:rsid w:val="00B85ECF"/>
    <w:rsid w:val="00C34201"/>
    <w:rsid w:val="00C56C31"/>
    <w:rsid w:val="00C73789"/>
    <w:rsid w:val="00CA5BAD"/>
    <w:rsid w:val="00D374C6"/>
    <w:rsid w:val="00DB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AD"/>
    <w:pPr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80D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7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780D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83780D"/>
    <w:rPr>
      <w:rFonts w:ascii="Verdana" w:hAnsi="Verdana" w:hint="default"/>
      <w:b/>
      <w:bCs/>
      <w:color w:val="CC66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s.org/poet.php/prmPID/296" TargetMode="External"/><Relationship Id="rId5" Type="http://schemas.openxmlformats.org/officeDocument/2006/relationships/hyperlink" Target="http://www.poets.org/poet.php/prmPID/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1986</CharactersWithSpaces>
  <SharedDoc>false</SharedDoc>
  <HLinks>
    <vt:vector size="12" baseType="variant">
      <vt:variant>
        <vt:i4>5963841</vt:i4>
      </vt:variant>
      <vt:variant>
        <vt:i4>3</vt:i4>
      </vt:variant>
      <vt:variant>
        <vt:i4>0</vt:i4>
      </vt:variant>
      <vt:variant>
        <vt:i4>5</vt:i4>
      </vt:variant>
      <vt:variant>
        <vt:lpwstr>http://www.poets.org/poet.php/prmPID/296</vt:lpwstr>
      </vt:variant>
      <vt:variant>
        <vt:lpwstr/>
      </vt:variant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http://www.poets.org/poet.php/prmPID/296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2012-11-26T17:49:00Z</dcterms:created>
  <dcterms:modified xsi:type="dcterms:W3CDTF">2012-11-26T17:49:00Z</dcterms:modified>
</cp:coreProperties>
</file>